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A4BE" w14:textId="69AF8954" w:rsidR="00A80E63" w:rsidRDefault="00496EE8" w:rsidP="005A1215">
      <w:pPr>
        <w:pStyle w:val="ListParagraph"/>
        <w:numPr>
          <w:ilvl w:val="0"/>
          <w:numId w:val="1"/>
        </w:numPr>
        <w:tabs>
          <w:tab w:val="left" w:pos="567"/>
        </w:tabs>
        <w:spacing w:before="240"/>
        <w:ind w:left="567" w:right="6" w:hanging="567"/>
      </w:pPr>
      <w:r w:rsidRPr="00EE2621">
        <w:t xml:space="preserve">The </w:t>
      </w:r>
      <w:r w:rsidR="00A41211">
        <w:t>Queensland</w:t>
      </w:r>
      <w:r w:rsidRPr="00EE2621">
        <w:t xml:space="preserve"> Government released </w:t>
      </w:r>
      <w:proofErr w:type="spellStart"/>
      <w:r w:rsidRPr="00EE2621">
        <w:rPr>
          <w:i/>
        </w:rPr>
        <w:t>ShapingSEQ</w:t>
      </w:r>
      <w:proofErr w:type="spellEnd"/>
      <w:r w:rsidRPr="00EE2621">
        <w:t xml:space="preserve">, the regional plan for South East Queensland (SEQ), in August 2017, providing a sustainable growth management framework for the region. The plan identifies that the majority of new growth in SEQ will be </w:t>
      </w:r>
      <w:r w:rsidR="00EE2621" w:rsidRPr="00EE2621">
        <w:t>accommodated in</w:t>
      </w:r>
      <w:r w:rsidRPr="00EE2621">
        <w:t xml:space="preserve"> existing urban areas.</w:t>
      </w:r>
    </w:p>
    <w:p w14:paraId="4844A4C0" w14:textId="3464D36A" w:rsidR="00A80E63" w:rsidRPr="005A1215" w:rsidRDefault="006713D9" w:rsidP="005A1215">
      <w:pPr>
        <w:pStyle w:val="ListParagraph"/>
        <w:numPr>
          <w:ilvl w:val="0"/>
          <w:numId w:val="1"/>
        </w:numPr>
        <w:tabs>
          <w:tab w:val="left" w:pos="567"/>
        </w:tabs>
        <w:spacing w:before="240"/>
        <w:ind w:left="567" w:right="6" w:hanging="567"/>
      </w:pPr>
      <w:r w:rsidRPr="005A1215">
        <w:rPr>
          <w:lang w:val="en-US"/>
        </w:rPr>
        <w:t>The SEQ Land Supply and Development Monitoring (LSDM) report</w:t>
      </w:r>
      <w:r w:rsidR="00F24849" w:rsidRPr="005A1215">
        <w:rPr>
          <w:lang w:val="en-US"/>
        </w:rPr>
        <w:t xml:space="preserve"> </w:t>
      </w:r>
      <w:r w:rsidRPr="005A1215">
        <w:rPr>
          <w:lang w:val="en-US"/>
        </w:rPr>
        <w:t>has three years of data and emerging trends. The LSDM report for 2020 indicated that while the four years of approved supply benchmark for lot approvals is being met on average across the SEQ region (4.2 years of approved supply), there are key markets (Brisbane, Gold Coast, Moreton Bay, Noosa, Redland and Sunshine Coast) that fall below four years supply.</w:t>
      </w:r>
    </w:p>
    <w:p w14:paraId="4844A4C6" w14:textId="796C5EB7" w:rsidR="00A80E63" w:rsidRDefault="00F24849" w:rsidP="005A1215">
      <w:pPr>
        <w:pStyle w:val="ListParagraph"/>
        <w:numPr>
          <w:ilvl w:val="0"/>
          <w:numId w:val="1"/>
        </w:numPr>
        <w:tabs>
          <w:tab w:val="left" w:pos="567"/>
        </w:tabs>
        <w:spacing w:before="240"/>
        <w:ind w:left="567" w:right="6" w:hanging="567"/>
      </w:pPr>
      <w:r w:rsidRPr="00EE2621">
        <w:t xml:space="preserve">The Department of State Development, Infrastructure and Local Government has established </w:t>
      </w:r>
      <w:r w:rsidR="00496EE8" w:rsidRPr="00EE2621">
        <w:t xml:space="preserve">a Growth Areas Team (GAT) </w:t>
      </w:r>
      <w:r w:rsidRPr="00EE2621">
        <w:t xml:space="preserve">to respond to growth challenges in the SEQ region with </w:t>
      </w:r>
      <w:r w:rsidR="00496EE8" w:rsidRPr="00EE2621">
        <w:t xml:space="preserve">Caboolture West (Neighbourhood Development Plan 1) </w:t>
      </w:r>
      <w:r w:rsidR="0034738D">
        <w:t>as</w:t>
      </w:r>
      <w:r w:rsidR="0034738D" w:rsidRPr="00EE2621">
        <w:t xml:space="preserve"> </w:t>
      </w:r>
      <w:r w:rsidRPr="00EE2621">
        <w:t xml:space="preserve">the first </w:t>
      </w:r>
      <w:r w:rsidR="00496EE8" w:rsidRPr="00EE2621">
        <w:t xml:space="preserve">pilot site </w:t>
      </w:r>
      <w:r w:rsidRPr="00EE2621">
        <w:t>in a future program to unlock growth, address housing choice and affordability, housing assistance and identify the infrastructure necessary to support more liveable communities.</w:t>
      </w:r>
    </w:p>
    <w:p w14:paraId="0C7CE7F4" w14:textId="4AF6AEB7" w:rsidR="00F24849" w:rsidRDefault="00F24849" w:rsidP="005A1215">
      <w:pPr>
        <w:pStyle w:val="ListParagraph"/>
        <w:numPr>
          <w:ilvl w:val="0"/>
          <w:numId w:val="1"/>
        </w:numPr>
        <w:tabs>
          <w:tab w:val="left" w:pos="567"/>
        </w:tabs>
        <w:spacing w:before="240"/>
        <w:ind w:left="567" w:right="6" w:hanging="567"/>
      </w:pPr>
      <w:r w:rsidRPr="005A1215">
        <w:rPr>
          <w:u w:val="single"/>
        </w:rPr>
        <w:t>Cabinet noted</w:t>
      </w:r>
      <w:r w:rsidRPr="00EE2621">
        <w:t xml:space="preserve"> that the government’s annual Land Supply and Development Monitoring report indicates that areas in SEQ are facing short-term land supply challenges.</w:t>
      </w:r>
    </w:p>
    <w:p w14:paraId="4844A4C9" w14:textId="2F64883F" w:rsidR="00A80E63" w:rsidRPr="00EE2621" w:rsidRDefault="00C71E44" w:rsidP="005A1215">
      <w:pPr>
        <w:pStyle w:val="ListParagraph"/>
        <w:numPr>
          <w:ilvl w:val="0"/>
          <w:numId w:val="1"/>
        </w:numPr>
        <w:tabs>
          <w:tab w:val="left" w:pos="567"/>
        </w:tabs>
        <w:spacing w:before="240"/>
        <w:ind w:left="567" w:right="6" w:hanging="567"/>
      </w:pPr>
      <w:r w:rsidRPr="005A1215">
        <w:rPr>
          <w:u w:val="single"/>
        </w:rPr>
        <w:t>Cabinet noted</w:t>
      </w:r>
      <w:r w:rsidRPr="00EE2621">
        <w:t xml:space="preserve"> </w:t>
      </w:r>
      <w:r w:rsidR="00660D81" w:rsidRPr="005A1215">
        <w:rPr>
          <w:lang w:val="en-US"/>
        </w:rPr>
        <w:t>the recently announced Growth Areas Team and Caboolture West (</w:t>
      </w:r>
      <w:proofErr w:type="spellStart"/>
      <w:r w:rsidR="00660D81" w:rsidRPr="005A1215">
        <w:rPr>
          <w:lang w:val="en-US"/>
        </w:rPr>
        <w:t>Neighbourhood</w:t>
      </w:r>
      <w:proofErr w:type="spellEnd"/>
      <w:r w:rsidR="00660D81" w:rsidRPr="005A1215">
        <w:rPr>
          <w:lang w:val="en-US"/>
        </w:rPr>
        <w:t xml:space="preserve"> Development Plan 1) pilot site</w:t>
      </w:r>
      <w:r w:rsidR="000960A0" w:rsidRPr="005A1215">
        <w:rPr>
          <w:lang w:val="en-US"/>
        </w:rPr>
        <w:t xml:space="preserve"> to respond to SEQ land supply and growth challenges</w:t>
      </w:r>
      <w:r w:rsidR="00660D81" w:rsidRPr="005A1215">
        <w:rPr>
          <w:lang w:val="en-US"/>
        </w:rPr>
        <w:t>.</w:t>
      </w:r>
    </w:p>
    <w:p w14:paraId="4844A4CA" w14:textId="059E1EE0" w:rsidR="00A80E63" w:rsidRPr="00EE2621" w:rsidRDefault="00496EE8" w:rsidP="005A1215">
      <w:pPr>
        <w:pStyle w:val="ListParagraph"/>
        <w:numPr>
          <w:ilvl w:val="0"/>
          <w:numId w:val="1"/>
        </w:numPr>
        <w:tabs>
          <w:tab w:val="left" w:pos="567"/>
        </w:tabs>
        <w:spacing w:before="360"/>
        <w:ind w:left="567" w:right="6" w:hanging="567"/>
        <w:rPr>
          <w:i/>
        </w:rPr>
      </w:pPr>
      <w:r w:rsidRPr="00EE2621">
        <w:rPr>
          <w:i/>
          <w:u w:val="single"/>
        </w:rPr>
        <w:t>Attachments</w:t>
      </w:r>
      <w:r w:rsidR="00690B93" w:rsidRPr="00EE2621">
        <w:rPr>
          <w:iCs/>
        </w:rPr>
        <w:t>:</w:t>
      </w:r>
    </w:p>
    <w:p w14:paraId="0A62C667" w14:textId="0BB8B7AF" w:rsidR="00177B73" w:rsidRPr="00EE2621" w:rsidRDefault="00496EE8" w:rsidP="00016000">
      <w:pPr>
        <w:pStyle w:val="ListParagraph"/>
        <w:numPr>
          <w:ilvl w:val="1"/>
          <w:numId w:val="1"/>
        </w:numPr>
        <w:tabs>
          <w:tab w:val="left" w:pos="851"/>
          <w:tab w:val="left" w:pos="1135"/>
          <w:tab w:val="left" w:pos="1136"/>
        </w:tabs>
        <w:spacing w:before="120"/>
        <w:ind w:left="1134" w:right="6" w:hanging="567"/>
        <w:jc w:val="left"/>
      </w:pPr>
      <w:r w:rsidRPr="00EE2621">
        <w:t>Nil</w:t>
      </w:r>
      <w:r w:rsidR="00690B93" w:rsidRPr="00EE2621">
        <w:t>.</w:t>
      </w:r>
    </w:p>
    <w:sectPr w:rsidR="00177B73" w:rsidRPr="00EE2621" w:rsidSect="00484812">
      <w:headerReference w:type="default" r:id="rId10"/>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D08C" w14:textId="77777777" w:rsidR="00DF6E1A" w:rsidRDefault="00DF6E1A" w:rsidP="003A7B5C">
      <w:r>
        <w:separator/>
      </w:r>
    </w:p>
  </w:endnote>
  <w:endnote w:type="continuationSeparator" w:id="0">
    <w:p w14:paraId="29026EC2" w14:textId="77777777" w:rsidR="00DF6E1A" w:rsidRDefault="00DF6E1A" w:rsidP="003A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8116" w14:textId="77777777" w:rsidR="00DF6E1A" w:rsidRDefault="00DF6E1A" w:rsidP="003A7B5C">
      <w:r>
        <w:separator/>
      </w:r>
    </w:p>
  </w:footnote>
  <w:footnote w:type="continuationSeparator" w:id="0">
    <w:p w14:paraId="5D6737D3" w14:textId="77777777" w:rsidR="00DF6E1A" w:rsidRDefault="00DF6E1A" w:rsidP="003A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8E9A" w14:textId="77777777" w:rsidR="003A7B5C" w:rsidRPr="00937A4A" w:rsidRDefault="003A7B5C" w:rsidP="003A7B5C">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31F180F0" w14:textId="77777777" w:rsidR="003A7B5C" w:rsidRPr="00937A4A" w:rsidRDefault="003A7B5C" w:rsidP="003A7B5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18EC4C9C" w14:textId="4F753101" w:rsidR="003A7B5C" w:rsidRPr="00937A4A" w:rsidRDefault="003A7B5C" w:rsidP="003A7B5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May 2021</w:t>
    </w:r>
  </w:p>
  <w:p w14:paraId="3C43B2D8" w14:textId="2CC489E4" w:rsidR="003A7B5C" w:rsidRDefault="003A7B5C" w:rsidP="003A7B5C">
    <w:pPr>
      <w:pStyle w:val="Header"/>
      <w:spacing w:before="120"/>
      <w:rPr>
        <w:b/>
        <w:u w:val="single"/>
      </w:rPr>
    </w:pPr>
    <w:r>
      <w:rPr>
        <w:b/>
        <w:u w:val="single"/>
      </w:rPr>
      <w:t>Responding to land supply and growth challenges in South East Queensland (SEQ)</w:t>
    </w:r>
  </w:p>
  <w:p w14:paraId="0C30EED3" w14:textId="426FD436" w:rsidR="003A7B5C" w:rsidRDefault="00AF7426" w:rsidP="003A7B5C">
    <w:pPr>
      <w:pStyle w:val="Header"/>
      <w:spacing w:before="120"/>
      <w:rPr>
        <w:b/>
        <w:u w:val="single"/>
      </w:rPr>
    </w:pPr>
    <w:r>
      <w:rPr>
        <w:b/>
        <w:u w:val="single"/>
      </w:rPr>
      <w:t xml:space="preserve">Deputy Premier and </w:t>
    </w:r>
    <w:r w:rsidR="003A7B5C">
      <w:rPr>
        <w:b/>
        <w:u w:val="single"/>
      </w:rPr>
      <w:t>Minister</w:t>
    </w:r>
    <w:r>
      <w:rPr>
        <w:b/>
        <w:u w:val="single"/>
      </w:rPr>
      <w:t xml:space="preserve"> for State Development, Infrastructure, Local Government </w:t>
    </w:r>
    <w:r w:rsidR="00AF324F">
      <w:rPr>
        <w:b/>
        <w:u w:val="single"/>
      </w:rPr>
      <w:t>and Planning</w:t>
    </w:r>
  </w:p>
  <w:p w14:paraId="4C46CCC6" w14:textId="77777777" w:rsidR="003A7B5C" w:rsidRDefault="003A7B5C" w:rsidP="003A7B5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2609"/>
    <w:multiLevelType w:val="hybridMultilevel"/>
    <w:tmpl w:val="906AAB76"/>
    <w:lvl w:ilvl="0" w:tplc="6666F164">
      <w:start w:val="1"/>
      <w:numFmt w:val="decimal"/>
      <w:lvlText w:val="%1."/>
      <w:lvlJc w:val="left"/>
      <w:pPr>
        <w:ind w:left="684" w:hanging="360"/>
      </w:pPr>
      <w:rPr>
        <w:rFonts w:ascii="Arial" w:eastAsia="Arial" w:hAnsi="Arial" w:cs="Arial" w:hint="default"/>
        <w:i w:val="0"/>
        <w:iCs/>
        <w:spacing w:val="-3"/>
        <w:w w:val="100"/>
        <w:sz w:val="22"/>
        <w:szCs w:val="22"/>
        <w:lang w:val="en-AU" w:eastAsia="en-US" w:bidi="ar-SA"/>
      </w:rPr>
    </w:lvl>
    <w:lvl w:ilvl="1" w:tplc="D9E2542C">
      <w:numFmt w:val="bullet"/>
      <w:lvlText w:val=""/>
      <w:lvlJc w:val="left"/>
      <w:pPr>
        <w:ind w:left="1136" w:hanging="454"/>
      </w:pPr>
      <w:rPr>
        <w:rFonts w:ascii="Symbol" w:eastAsia="Symbol" w:hAnsi="Symbol" w:cs="Symbol" w:hint="default"/>
        <w:w w:val="100"/>
        <w:sz w:val="23"/>
        <w:szCs w:val="23"/>
        <w:lang w:val="en-AU" w:eastAsia="en-US" w:bidi="ar-SA"/>
      </w:rPr>
    </w:lvl>
    <w:lvl w:ilvl="2" w:tplc="8752B7F8">
      <w:numFmt w:val="bullet"/>
      <w:lvlText w:val="•"/>
      <w:lvlJc w:val="left"/>
      <w:pPr>
        <w:ind w:left="2098" w:hanging="454"/>
      </w:pPr>
      <w:rPr>
        <w:rFonts w:hint="default"/>
        <w:lang w:val="en-AU" w:eastAsia="en-US" w:bidi="ar-SA"/>
      </w:rPr>
    </w:lvl>
    <w:lvl w:ilvl="3" w:tplc="5B0E7A76">
      <w:numFmt w:val="bullet"/>
      <w:lvlText w:val="•"/>
      <w:lvlJc w:val="left"/>
      <w:pPr>
        <w:ind w:left="3056" w:hanging="454"/>
      </w:pPr>
      <w:rPr>
        <w:rFonts w:hint="default"/>
        <w:lang w:val="en-AU" w:eastAsia="en-US" w:bidi="ar-SA"/>
      </w:rPr>
    </w:lvl>
    <w:lvl w:ilvl="4" w:tplc="8A648CC0">
      <w:numFmt w:val="bullet"/>
      <w:lvlText w:val="•"/>
      <w:lvlJc w:val="left"/>
      <w:pPr>
        <w:ind w:left="4015" w:hanging="454"/>
      </w:pPr>
      <w:rPr>
        <w:rFonts w:hint="default"/>
        <w:lang w:val="en-AU" w:eastAsia="en-US" w:bidi="ar-SA"/>
      </w:rPr>
    </w:lvl>
    <w:lvl w:ilvl="5" w:tplc="0B16C4FC">
      <w:numFmt w:val="bullet"/>
      <w:lvlText w:val="•"/>
      <w:lvlJc w:val="left"/>
      <w:pPr>
        <w:ind w:left="4973" w:hanging="454"/>
      </w:pPr>
      <w:rPr>
        <w:rFonts w:hint="default"/>
        <w:lang w:val="en-AU" w:eastAsia="en-US" w:bidi="ar-SA"/>
      </w:rPr>
    </w:lvl>
    <w:lvl w:ilvl="6" w:tplc="8E2CD0CC">
      <w:numFmt w:val="bullet"/>
      <w:lvlText w:val="•"/>
      <w:lvlJc w:val="left"/>
      <w:pPr>
        <w:ind w:left="5932" w:hanging="454"/>
      </w:pPr>
      <w:rPr>
        <w:rFonts w:hint="default"/>
        <w:lang w:val="en-AU" w:eastAsia="en-US" w:bidi="ar-SA"/>
      </w:rPr>
    </w:lvl>
    <w:lvl w:ilvl="7" w:tplc="CAE8CA4C">
      <w:numFmt w:val="bullet"/>
      <w:lvlText w:val="•"/>
      <w:lvlJc w:val="left"/>
      <w:pPr>
        <w:ind w:left="6890" w:hanging="454"/>
      </w:pPr>
      <w:rPr>
        <w:rFonts w:hint="default"/>
        <w:lang w:val="en-AU" w:eastAsia="en-US" w:bidi="ar-SA"/>
      </w:rPr>
    </w:lvl>
    <w:lvl w:ilvl="8" w:tplc="72D860BE">
      <w:numFmt w:val="bullet"/>
      <w:lvlText w:val="•"/>
      <w:lvlJc w:val="left"/>
      <w:pPr>
        <w:ind w:left="7849" w:hanging="454"/>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63"/>
    <w:rsid w:val="00016000"/>
    <w:rsid w:val="00063C04"/>
    <w:rsid w:val="00075D73"/>
    <w:rsid w:val="000960A0"/>
    <w:rsid w:val="000D22AA"/>
    <w:rsid w:val="00122D0D"/>
    <w:rsid w:val="00176768"/>
    <w:rsid w:val="00177B73"/>
    <w:rsid w:val="001823AB"/>
    <w:rsid w:val="00197768"/>
    <w:rsid w:val="001D3E85"/>
    <w:rsid w:val="00240FCC"/>
    <w:rsid w:val="00251EDB"/>
    <w:rsid w:val="002909C3"/>
    <w:rsid w:val="002D3620"/>
    <w:rsid w:val="00302042"/>
    <w:rsid w:val="0034738D"/>
    <w:rsid w:val="00357BD7"/>
    <w:rsid w:val="003A0051"/>
    <w:rsid w:val="003A7B5C"/>
    <w:rsid w:val="003C2BBD"/>
    <w:rsid w:val="00427D28"/>
    <w:rsid w:val="00484812"/>
    <w:rsid w:val="0048552F"/>
    <w:rsid w:val="00496EE8"/>
    <w:rsid w:val="004A044B"/>
    <w:rsid w:val="00545B0C"/>
    <w:rsid w:val="00582C0C"/>
    <w:rsid w:val="00590C42"/>
    <w:rsid w:val="005A1215"/>
    <w:rsid w:val="005F57B0"/>
    <w:rsid w:val="00660D81"/>
    <w:rsid w:val="006649C6"/>
    <w:rsid w:val="006713D9"/>
    <w:rsid w:val="00690B93"/>
    <w:rsid w:val="006F22A0"/>
    <w:rsid w:val="006F3FCE"/>
    <w:rsid w:val="007C565C"/>
    <w:rsid w:val="008122CF"/>
    <w:rsid w:val="008B2AFB"/>
    <w:rsid w:val="008C2D23"/>
    <w:rsid w:val="008D4535"/>
    <w:rsid w:val="009878C6"/>
    <w:rsid w:val="009A5480"/>
    <w:rsid w:val="009B3FD0"/>
    <w:rsid w:val="00A0583F"/>
    <w:rsid w:val="00A26174"/>
    <w:rsid w:val="00A411B0"/>
    <w:rsid w:val="00A41211"/>
    <w:rsid w:val="00A7765F"/>
    <w:rsid w:val="00A80E63"/>
    <w:rsid w:val="00AB7E68"/>
    <w:rsid w:val="00AC50A2"/>
    <w:rsid w:val="00AF324F"/>
    <w:rsid w:val="00AF7426"/>
    <w:rsid w:val="00B83BDB"/>
    <w:rsid w:val="00BA131C"/>
    <w:rsid w:val="00BC149D"/>
    <w:rsid w:val="00BE2BED"/>
    <w:rsid w:val="00C71E44"/>
    <w:rsid w:val="00D65F04"/>
    <w:rsid w:val="00DB140F"/>
    <w:rsid w:val="00DD5EE4"/>
    <w:rsid w:val="00DE6DDD"/>
    <w:rsid w:val="00DF6E1A"/>
    <w:rsid w:val="00E91F0D"/>
    <w:rsid w:val="00EA09CD"/>
    <w:rsid w:val="00EB67F4"/>
    <w:rsid w:val="00EE2621"/>
    <w:rsid w:val="00F0468A"/>
    <w:rsid w:val="00F24849"/>
    <w:rsid w:val="00F7000F"/>
    <w:rsid w:val="00F94199"/>
    <w:rsid w:val="00FA3FF8"/>
    <w:rsid w:val="00FA70B5"/>
    <w:rsid w:val="00FB41C3"/>
    <w:rsid w:val="00FC455C"/>
    <w:rsid w:val="00FF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4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397" w:right="39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1"/>
      <w:ind w:left="397" w:right="396"/>
      <w:jc w:val="center"/>
    </w:pPr>
    <w:rPr>
      <w:b/>
      <w:bCs/>
      <w:sz w:val="56"/>
      <w:szCs w:val="56"/>
    </w:rPr>
  </w:style>
  <w:style w:type="paragraph" w:styleId="ListParagraph">
    <w:name w:val="List Paragraph"/>
    <w:basedOn w:val="Normal"/>
    <w:uiPriority w:val="1"/>
    <w:qFormat/>
    <w:pPr>
      <w:ind w:left="684"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7B5C"/>
    <w:pPr>
      <w:tabs>
        <w:tab w:val="center" w:pos="4680"/>
        <w:tab w:val="right" w:pos="9360"/>
      </w:tabs>
    </w:pPr>
  </w:style>
  <w:style w:type="character" w:customStyle="1" w:styleId="HeaderChar">
    <w:name w:val="Header Char"/>
    <w:basedOn w:val="DefaultParagraphFont"/>
    <w:link w:val="Header"/>
    <w:uiPriority w:val="99"/>
    <w:rsid w:val="003A7B5C"/>
    <w:rPr>
      <w:rFonts w:ascii="Arial" w:eastAsia="Arial" w:hAnsi="Arial" w:cs="Arial"/>
      <w:lang w:val="en-AU"/>
    </w:rPr>
  </w:style>
  <w:style w:type="paragraph" w:styleId="Footer">
    <w:name w:val="footer"/>
    <w:basedOn w:val="Normal"/>
    <w:link w:val="FooterChar"/>
    <w:uiPriority w:val="99"/>
    <w:unhideWhenUsed/>
    <w:rsid w:val="003A7B5C"/>
    <w:pPr>
      <w:tabs>
        <w:tab w:val="center" w:pos="4680"/>
        <w:tab w:val="right" w:pos="9360"/>
      </w:tabs>
    </w:pPr>
  </w:style>
  <w:style w:type="character" w:customStyle="1" w:styleId="FooterChar">
    <w:name w:val="Footer Char"/>
    <w:basedOn w:val="DefaultParagraphFont"/>
    <w:link w:val="Footer"/>
    <w:uiPriority w:val="99"/>
    <w:rsid w:val="003A7B5C"/>
    <w:rPr>
      <w:rFonts w:ascii="Arial" w:eastAsia="Arial" w:hAnsi="Arial" w:cs="Arial"/>
      <w:lang w:val="en-AU"/>
    </w:rPr>
  </w:style>
  <w:style w:type="character" w:styleId="CommentReference">
    <w:name w:val="annotation reference"/>
    <w:basedOn w:val="DefaultParagraphFont"/>
    <w:uiPriority w:val="99"/>
    <w:semiHidden/>
    <w:unhideWhenUsed/>
    <w:rsid w:val="006F3FCE"/>
    <w:rPr>
      <w:sz w:val="16"/>
      <w:szCs w:val="16"/>
    </w:rPr>
  </w:style>
  <w:style w:type="paragraph" w:styleId="CommentText">
    <w:name w:val="annotation text"/>
    <w:basedOn w:val="Normal"/>
    <w:link w:val="CommentTextChar"/>
    <w:uiPriority w:val="99"/>
    <w:semiHidden/>
    <w:unhideWhenUsed/>
    <w:rsid w:val="006F3FCE"/>
    <w:rPr>
      <w:sz w:val="20"/>
      <w:szCs w:val="20"/>
    </w:rPr>
  </w:style>
  <w:style w:type="character" w:customStyle="1" w:styleId="CommentTextChar">
    <w:name w:val="Comment Text Char"/>
    <w:basedOn w:val="DefaultParagraphFont"/>
    <w:link w:val="CommentText"/>
    <w:uiPriority w:val="99"/>
    <w:semiHidden/>
    <w:rsid w:val="006F3FCE"/>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6F3FCE"/>
    <w:rPr>
      <w:b/>
      <w:bCs/>
    </w:rPr>
  </w:style>
  <w:style w:type="character" w:customStyle="1" w:styleId="CommentSubjectChar">
    <w:name w:val="Comment Subject Char"/>
    <w:basedOn w:val="CommentTextChar"/>
    <w:link w:val="CommentSubject"/>
    <w:uiPriority w:val="99"/>
    <w:semiHidden/>
    <w:rsid w:val="006F3FCE"/>
    <w:rPr>
      <w:rFonts w:ascii="Arial" w:eastAsia="Arial" w:hAnsi="Arial" w:cs="Arial"/>
      <w:b/>
      <w:bCs/>
      <w:sz w:val="20"/>
      <w:szCs w:val="20"/>
      <w:lang w:val="en-AU"/>
    </w:rPr>
  </w:style>
  <w:style w:type="paragraph" w:styleId="Revision">
    <w:name w:val="Revision"/>
    <w:hidden/>
    <w:uiPriority w:val="99"/>
    <w:semiHidden/>
    <w:rsid w:val="00FA3FF8"/>
    <w:pPr>
      <w:widowControl/>
      <w:autoSpaceDE/>
      <w:autoSpaceDN/>
    </w:pPr>
    <w:rPr>
      <w:rFonts w:ascii="Arial" w:eastAsia="Arial" w:hAnsi="Arial" w:cs="Arial"/>
      <w:lang w:val="en-AU"/>
    </w:rPr>
  </w:style>
  <w:style w:type="paragraph" w:styleId="BalloonText">
    <w:name w:val="Balloon Text"/>
    <w:basedOn w:val="Normal"/>
    <w:link w:val="BalloonTextChar"/>
    <w:uiPriority w:val="99"/>
    <w:semiHidden/>
    <w:unhideWhenUsed/>
    <w:rsid w:val="00485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52F"/>
    <w:rPr>
      <w:rFonts w:ascii="Segoe UI" w:eastAsia="Arial"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2E6D00-0ED6-4515-8EB0-0D08EF0CF186}">
  <ds:schemaRefs>
    <ds:schemaRef ds:uri="http://schemas.microsoft.com/sharepoint/v3/contenttype/forms"/>
  </ds:schemaRefs>
</ds:datastoreItem>
</file>

<file path=customXml/itemProps2.xml><?xml version="1.0" encoding="utf-8"?>
<ds:datastoreItem xmlns:ds="http://schemas.openxmlformats.org/officeDocument/2006/customXml" ds:itemID="{A04F0FC7-DC8E-43EB-BE48-DB8A8B874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9082CE-FA84-4367-B644-D93346D6E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1275</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C O N F I D E N T I A L</vt:lpstr>
    </vt:vector>
  </TitlesOfParts>
  <Company/>
  <LinksUpToDate>false</LinksUpToDate>
  <CharactersWithSpaces>1499</CharactersWithSpaces>
  <SharedDoc>false</SharedDoc>
  <HyperlinkBase>https://www.cabinet.qld.gov.au/documents/2021/May/SEQLandSupply/</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F I D E N T I A L</dc:title>
  <dc:creator/>
  <cp:lastModifiedBy/>
  <cp:revision>10</cp:revision>
  <cp:lastPrinted>2021-04-29T04:35:00Z</cp:lastPrinted>
  <dcterms:created xsi:type="dcterms:W3CDTF">2021-08-11T05:43:00Z</dcterms:created>
  <dcterms:modified xsi:type="dcterms:W3CDTF">2021-09-07T00:58:00Z</dcterms:modified>
  <cp:category>South_East_Queensland,Urban_Planning,Land,Housing,Infrastructure,Communities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Acrobat PDFMaker 15 for Word</vt:lpwstr>
  </property>
  <property fmtid="{D5CDD505-2E9C-101B-9397-08002B2CF9AE}" pid="4" name="LastSaved">
    <vt:filetime>2021-04-23T00:00:00Z</vt:filetime>
  </property>
  <property fmtid="{D5CDD505-2E9C-101B-9397-08002B2CF9AE}" pid="5" name="ContentTypeId">
    <vt:lpwstr>0x010100DDE14CFDD070B24F85F5DE43654FF01E</vt:lpwstr>
  </property>
</Properties>
</file>